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B1EC5" w14:textId="77777777" w:rsidR="00BD0CC9" w:rsidRDefault="00017AF2">
      <w:r>
        <w:pict w14:anchorId="4B67FB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75pt;height:30pt">
            <v:imagedata r:id="rId6" o:title=""/>
          </v:shape>
        </w:pict>
      </w:r>
    </w:p>
    <w:p w14:paraId="154846FB" w14:textId="77777777" w:rsidR="00BD0CC9" w:rsidRDefault="00017AF2">
      <w:pPr>
        <w:spacing w:before="360" w:line="260" w:lineRule="atLeast"/>
      </w:pPr>
      <w:r>
        <w:rPr>
          <w:rFonts w:ascii="Arial" w:eastAsia="Arial" w:hAnsi="Arial" w:cs="Arial"/>
          <w:b/>
          <w:color w:val="000000"/>
          <w:sz w:val="20"/>
        </w:rPr>
        <w:t xml:space="preserve">User Name: </w:t>
      </w:r>
      <w:r>
        <w:rPr>
          <w:rFonts w:ascii="Arial" w:eastAsia="Arial" w:hAnsi="Arial" w:cs="Arial"/>
          <w:color w:val="000000"/>
          <w:sz w:val="20"/>
        </w:rPr>
        <w:t>Lloyd Crawford</w:t>
      </w:r>
    </w:p>
    <w:p w14:paraId="10D7D5BE" w14:textId="77777777" w:rsidR="00BD0CC9" w:rsidRDefault="00017AF2">
      <w:pPr>
        <w:spacing w:before="80" w:line="240" w:lineRule="atLeast"/>
      </w:pPr>
      <w:r>
        <w:rPr>
          <w:rFonts w:ascii="Arial" w:eastAsia="Arial" w:hAnsi="Arial" w:cs="Arial"/>
          <w:b/>
          <w:color w:val="000000"/>
          <w:sz w:val="20"/>
        </w:rPr>
        <w:t xml:space="preserve">Date and Time: </w:t>
      </w:r>
      <w:r>
        <w:rPr>
          <w:rFonts w:ascii="Arial" w:eastAsia="Arial" w:hAnsi="Arial" w:cs="Arial"/>
          <w:color w:val="000000"/>
          <w:sz w:val="20"/>
        </w:rPr>
        <w:t>Friday, September 16, 2022 1:13:00 PM CDT</w:t>
      </w:r>
    </w:p>
    <w:p w14:paraId="432F833C" w14:textId="77777777" w:rsidR="00BD0CC9" w:rsidRDefault="00017AF2">
      <w:pPr>
        <w:spacing w:before="80" w:line="240" w:lineRule="atLeast"/>
      </w:pPr>
      <w:r>
        <w:rPr>
          <w:rFonts w:ascii="Arial" w:eastAsia="Arial" w:hAnsi="Arial" w:cs="Arial"/>
          <w:b/>
          <w:color w:val="000000"/>
          <w:sz w:val="20"/>
        </w:rPr>
        <w:t xml:space="preserve">Job Number: </w:t>
      </w:r>
      <w:r>
        <w:rPr>
          <w:rFonts w:ascii="Arial" w:eastAsia="Arial" w:hAnsi="Arial" w:cs="Arial"/>
          <w:color w:val="000000"/>
          <w:sz w:val="20"/>
        </w:rPr>
        <w:t>179646157</w:t>
      </w:r>
    </w:p>
    <w:p w14:paraId="10CA6AE5" w14:textId="77777777" w:rsidR="00BD0CC9" w:rsidRDefault="00017AF2">
      <w:pPr>
        <w:spacing w:before="360" w:line="360" w:lineRule="atLeast"/>
        <w:jc w:val="both"/>
      </w:pPr>
      <w:r>
        <w:rPr>
          <w:rFonts w:ascii="Arial" w:eastAsia="Arial" w:hAnsi="Arial" w:cs="Arial"/>
          <w:b/>
          <w:color w:val="000000"/>
        </w:rPr>
        <w:t>Document (1)</w:t>
      </w:r>
    </w:p>
    <w:p w14:paraId="40737B5A" w14:textId="77777777" w:rsidR="00BD0CC9" w:rsidRDefault="00017AF2">
      <w:pPr>
        <w:spacing w:before="200" w:line="300" w:lineRule="atLeast"/>
        <w:ind w:left="440" w:hanging="290"/>
      </w:pPr>
      <w:r>
        <w:rPr>
          <w:rFonts w:ascii="Arial" w:eastAsia="Arial" w:hAnsi="Arial" w:cs="Arial"/>
          <w:sz w:val="20"/>
        </w:rPr>
        <w:t>1.</w:t>
      </w:r>
      <w:hyperlink r:id="rId7" w:history="1">
        <w:r>
          <w:rPr>
            <w:rFonts w:ascii="Arial" w:eastAsia="Arial" w:hAnsi="Arial" w:cs="Arial"/>
            <w:color w:val="000000"/>
            <w:sz w:val="20"/>
            <w:u w:val="single"/>
            <w:shd w:val="clear" w:color="auto" w:fill="FFFFFF"/>
          </w:rPr>
          <w:t xml:space="preserve"> </w:t>
        </w:r>
      </w:hyperlink>
      <w:hyperlink r:id="rId8" w:history="1">
        <w:r>
          <w:rPr>
            <w:rFonts w:ascii="Arial" w:eastAsia="Arial" w:hAnsi="Arial" w:cs="Arial"/>
            <w:i/>
            <w:color w:val="0077CC"/>
            <w:sz w:val="20"/>
            <w:u w:val="single"/>
            <w:shd w:val="clear" w:color="auto" w:fill="FFFFFF"/>
          </w:rPr>
          <w:t>Ten</w:t>
        </w:r>
        <w:r>
          <w:rPr>
            <w:rFonts w:ascii="Arial" w:eastAsia="Arial" w:hAnsi="Arial" w:cs="Arial"/>
            <w:i/>
            <w:color w:val="0077CC"/>
            <w:sz w:val="20"/>
            <w:u w:val="single"/>
            <w:shd w:val="clear" w:color="auto" w:fill="FFFFFF"/>
          </w:rPr>
          <w:t>n. Code Ann. § 39-17-905</w:t>
        </w:r>
      </w:hyperlink>
    </w:p>
    <w:p w14:paraId="29501353" w14:textId="77777777" w:rsidR="00BD0CC9" w:rsidRDefault="00017AF2">
      <w:pPr>
        <w:spacing w:before="80" w:line="240" w:lineRule="atLeast"/>
        <w:ind w:left="290"/>
      </w:pPr>
      <w:r>
        <w:rPr>
          <w:rFonts w:ascii="Arial" w:eastAsia="Arial" w:hAnsi="Arial" w:cs="Arial"/>
          <w:b/>
          <w:color w:val="000000"/>
          <w:sz w:val="20"/>
        </w:rPr>
        <w:t xml:space="preserve">Client/Matter: </w:t>
      </w:r>
      <w:r>
        <w:rPr>
          <w:rFonts w:ascii="Arial" w:eastAsia="Arial" w:hAnsi="Arial" w:cs="Arial"/>
          <w:color w:val="000000"/>
          <w:sz w:val="20"/>
        </w:rPr>
        <w:t>-None-</w:t>
      </w:r>
    </w:p>
    <w:p w14:paraId="000212A6" w14:textId="77777777" w:rsidR="00BD0CC9" w:rsidRDefault="00017AF2">
      <w:pPr>
        <w:spacing w:before="80" w:line="240" w:lineRule="atLeast"/>
        <w:ind w:left="290"/>
      </w:pPr>
      <w:r>
        <w:rPr>
          <w:rFonts w:ascii="Arial" w:eastAsia="Arial" w:hAnsi="Arial" w:cs="Arial"/>
          <w:b/>
          <w:color w:val="000000"/>
          <w:sz w:val="20"/>
        </w:rPr>
        <w:t xml:space="preserve">Search Terms: </w:t>
      </w:r>
      <w:r>
        <w:rPr>
          <w:rFonts w:ascii="Arial" w:eastAsia="Arial" w:hAnsi="Arial" w:cs="Arial"/>
          <w:color w:val="000000"/>
          <w:sz w:val="20"/>
        </w:rPr>
        <w:t>39-17-905</w:t>
      </w:r>
    </w:p>
    <w:p w14:paraId="6A922652" w14:textId="77777777" w:rsidR="00BD0CC9" w:rsidRDefault="00017AF2">
      <w:pPr>
        <w:spacing w:before="80" w:line="240" w:lineRule="atLeast"/>
        <w:ind w:left="290"/>
      </w:pPr>
      <w:r>
        <w:rPr>
          <w:rFonts w:ascii="Arial" w:eastAsia="Arial" w:hAnsi="Arial" w:cs="Arial"/>
          <w:b/>
          <w:color w:val="000000"/>
          <w:sz w:val="20"/>
        </w:rPr>
        <w:t xml:space="preserve">Search Type: </w:t>
      </w:r>
      <w:r>
        <w:rPr>
          <w:rFonts w:ascii="Arial" w:eastAsia="Arial" w:hAnsi="Arial" w:cs="Arial"/>
          <w:color w:val="000000"/>
          <w:sz w:val="20"/>
        </w:rPr>
        <w:t xml:space="preserve">Natural Language </w:t>
      </w:r>
    </w:p>
    <w:p w14:paraId="03D50497" w14:textId="77777777" w:rsidR="00BD0CC9" w:rsidRDefault="00017AF2">
      <w:pPr>
        <w:spacing w:before="80" w:line="240" w:lineRule="atLeast"/>
        <w:ind w:left="290"/>
      </w:pPr>
      <w:r>
        <w:rPr>
          <w:rFonts w:ascii="Arial" w:eastAsia="Arial" w:hAnsi="Arial" w:cs="Arial"/>
          <w:b/>
          <w:color w:val="000000"/>
          <w:sz w:val="20"/>
        </w:rPr>
        <w:t xml:space="preserve">Narrowed by: </w:t>
      </w:r>
    </w:p>
    <w:p w14:paraId="1E1DCC4E" w14:textId="77777777" w:rsidR="00BD0CC9" w:rsidRDefault="00BD0CC9">
      <w:pPr>
        <w:spacing w:line="100" w:lineRule="exact"/>
        <w:jc w:val="both"/>
      </w:pPr>
    </w:p>
    <w:tbl>
      <w:tblPr>
        <w:tblW w:w="8000" w:type="dxa"/>
        <w:jc w:val="center"/>
        <w:tblBorders>
          <w:top w:val="nil"/>
          <w:left w:val="nil"/>
          <w:bottom w:val="nil"/>
          <w:right w:val="nil"/>
          <w:insideH w:val="nil"/>
          <w:insideV w:val="nil"/>
        </w:tblBorders>
        <w:tblLayout w:type="fixed"/>
        <w:tblLook w:val="04A0" w:firstRow="1" w:lastRow="0" w:firstColumn="1" w:lastColumn="0" w:noHBand="0" w:noVBand="1"/>
      </w:tblPr>
      <w:tblGrid>
        <w:gridCol w:w="3000"/>
        <w:gridCol w:w="5000"/>
      </w:tblGrid>
      <w:tr w:rsidR="00BD0CC9" w14:paraId="7A202827" w14:textId="77777777">
        <w:trPr>
          <w:jc w:val="center"/>
        </w:trPr>
        <w:tc>
          <w:tcPr>
            <w:tcW w:w="3000" w:type="dxa"/>
          </w:tcPr>
          <w:p w14:paraId="78338FB2" w14:textId="77777777" w:rsidR="00BD0CC9" w:rsidRDefault="00017AF2">
            <w:pPr>
              <w:spacing w:line="220" w:lineRule="atLeast"/>
            </w:pPr>
            <w:r>
              <w:rPr>
                <w:rFonts w:ascii="Arial" w:eastAsia="Arial" w:hAnsi="Arial" w:cs="Arial"/>
                <w:b/>
                <w:color w:val="000000"/>
                <w:sz w:val="18"/>
              </w:rPr>
              <w:t>Content Type</w:t>
            </w:r>
          </w:p>
        </w:tc>
        <w:tc>
          <w:tcPr>
            <w:tcW w:w="5000" w:type="dxa"/>
          </w:tcPr>
          <w:p w14:paraId="6D1C84D1" w14:textId="77777777" w:rsidR="00BD0CC9" w:rsidRDefault="00017AF2">
            <w:pPr>
              <w:spacing w:line="220" w:lineRule="atLeast"/>
            </w:pPr>
            <w:r>
              <w:rPr>
                <w:rFonts w:ascii="Arial" w:eastAsia="Arial" w:hAnsi="Arial" w:cs="Arial"/>
                <w:b/>
                <w:color w:val="000000"/>
                <w:sz w:val="18"/>
              </w:rPr>
              <w:t>Narrowed by</w:t>
            </w:r>
          </w:p>
        </w:tc>
      </w:tr>
      <w:tr w:rsidR="00BD0CC9" w14:paraId="0FD75AE7" w14:textId="77777777">
        <w:trPr>
          <w:jc w:val="center"/>
        </w:trPr>
        <w:tc>
          <w:tcPr>
            <w:tcW w:w="3000" w:type="dxa"/>
          </w:tcPr>
          <w:p w14:paraId="3EB16577" w14:textId="77777777" w:rsidR="00BD0CC9" w:rsidRDefault="00017AF2">
            <w:pPr>
              <w:spacing w:line="220" w:lineRule="atLeast"/>
            </w:pPr>
            <w:r>
              <w:rPr>
                <w:rFonts w:ascii="Arial" w:eastAsia="Arial" w:hAnsi="Arial" w:cs="Arial"/>
                <w:color w:val="000000"/>
                <w:sz w:val="18"/>
              </w:rPr>
              <w:t>Statutes and Legislation</w:t>
            </w:r>
          </w:p>
        </w:tc>
        <w:tc>
          <w:tcPr>
            <w:tcW w:w="5000" w:type="dxa"/>
          </w:tcPr>
          <w:p w14:paraId="368E6577" w14:textId="77777777" w:rsidR="00BD0CC9" w:rsidRDefault="00017AF2">
            <w:pPr>
              <w:spacing w:line="220" w:lineRule="atLeast"/>
            </w:pPr>
            <w:r>
              <w:rPr>
                <w:rFonts w:ascii="Arial" w:eastAsia="Arial" w:hAnsi="Arial" w:cs="Arial"/>
                <w:color w:val="000000"/>
                <w:sz w:val="18"/>
              </w:rPr>
              <w:t>Jurisdiction: Tennessee</w:t>
            </w:r>
          </w:p>
        </w:tc>
      </w:tr>
    </w:tbl>
    <w:p w14:paraId="53C70D22" w14:textId="77777777" w:rsidR="00BD0CC9" w:rsidRDefault="00BD0CC9">
      <w:pPr>
        <w:sectPr w:rsidR="00BD0CC9">
          <w:headerReference w:type="even" r:id="rId9"/>
          <w:headerReference w:type="default" r:id="rId10"/>
          <w:footerReference w:type="even" r:id="rId11"/>
          <w:footerReference w:type="default" r:id="rId12"/>
          <w:headerReference w:type="first" r:id="rId13"/>
          <w:footerReference w:type="first" r:id="rId14"/>
          <w:pgSz w:w="12240" w:h="15840"/>
          <w:pgMar w:top="840" w:right="1080" w:bottom="840" w:left="1080" w:header="0" w:footer="0" w:gutter="0"/>
          <w:cols w:space="720"/>
        </w:sectPr>
      </w:pPr>
    </w:p>
    <w:p w14:paraId="164FBA8E" w14:textId="77777777" w:rsidR="00BD0CC9" w:rsidRDefault="00BD0CC9">
      <w:pPr>
        <w:rPr>
          <w:rFonts w:ascii="Arial" w:eastAsia="Arial" w:hAnsi="Arial" w:cs="Arial"/>
          <w:sz w:val="20"/>
        </w:rPr>
        <w:sectPr w:rsidR="00BD0CC9">
          <w:headerReference w:type="even" r:id="rId15"/>
          <w:headerReference w:type="default" r:id="rId16"/>
          <w:footerReference w:type="even" r:id="rId17"/>
          <w:footerReference w:type="default" r:id="rId18"/>
          <w:headerReference w:type="first" r:id="rId19"/>
          <w:footerReference w:type="first" r:id="rId20"/>
          <w:pgSz w:w="12240" w:h="15840"/>
          <w:pgMar w:top="840" w:right="1000" w:bottom="840" w:left="1000" w:header="400" w:footer="400" w:gutter="0"/>
          <w:cols w:space="720"/>
          <w:titlePg/>
        </w:sectPr>
      </w:pPr>
    </w:p>
    <w:p w14:paraId="0BB48DF7" w14:textId="77777777" w:rsidR="00BD0CC9" w:rsidRDefault="00BD0CC9">
      <w:pPr>
        <w:rPr>
          <w:rFonts w:ascii="Arial" w:eastAsia="Arial" w:hAnsi="Arial" w:cs="Arial"/>
          <w:sz w:val="20"/>
        </w:rPr>
      </w:pPr>
      <w:bookmarkStart w:id="0" w:name="Bookmark_1"/>
      <w:bookmarkEnd w:id="0"/>
    </w:p>
    <w:p w14:paraId="28B6EEEF" w14:textId="77777777" w:rsidR="00BD0CC9" w:rsidRDefault="00017AF2">
      <w:pPr>
        <w:spacing w:before="240" w:after="200" w:line="340" w:lineRule="atLeast"/>
        <w:jc w:val="center"/>
        <w:outlineLvl w:val="0"/>
        <w:rPr>
          <w:rFonts w:ascii="Arial" w:eastAsia="Arial" w:hAnsi="Arial" w:cs="Arial"/>
          <w:b/>
          <w:bCs/>
          <w:kern w:val="32"/>
          <w:sz w:val="32"/>
          <w:szCs w:val="32"/>
        </w:rPr>
      </w:pPr>
      <w:hyperlink r:id="rId21" w:history="1">
        <w:r>
          <w:rPr>
            <w:rFonts w:ascii="Arial" w:eastAsia="Arial" w:hAnsi="Arial" w:cs="Arial"/>
            <w:b/>
            <w:bCs/>
            <w:i/>
            <w:color w:val="0077CC"/>
            <w:kern w:val="32"/>
            <w:sz w:val="28"/>
            <w:szCs w:val="32"/>
            <w:u w:val="single"/>
            <w:shd w:val="clear" w:color="auto" w:fill="FFFFFF"/>
          </w:rPr>
          <w:t xml:space="preserve">Tenn. Code Ann. § </w:t>
        </w:r>
      </w:hyperlink>
      <w:hyperlink r:id="rId22" w:history="1">
        <w:r>
          <w:rPr>
            <w:rFonts w:ascii="Arial" w:eastAsia="Arial" w:hAnsi="Arial" w:cs="Arial"/>
            <w:b/>
            <w:bCs/>
            <w:i/>
            <w:color w:val="0077CC"/>
            <w:kern w:val="32"/>
            <w:sz w:val="28"/>
            <w:szCs w:val="32"/>
            <w:u w:val="single"/>
            <w:shd w:val="clear" w:color="auto" w:fill="FFFFFF"/>
          </w:rPr>
          <w:t>39-17-905</w:t>
        </w:r>
      </w:hyperlink>
    </w:p>
    <w:p w14:paraId="0CF91521" w14:textId="77777777" w:rsidR="00BD0CC9" w:rsidRDefault="00017AF2">
      <w:pPr>
        <w:spacing w:before="120" w:line="260" w:lineRule="atLeast"/>
        <w:jc w:val="center"/>
        <w:rPr>
          <w:rFonts w:ascii="Arial" w:eastAsia="Arial" w:hAnsi="Arial" w:cs="Arial"/>
          <w:sz w:val="20"/>
        </w:rPr>
      </w:pPr>
      <w:r>
        <w:rPr>
          <w:rFonts w:ascii="Arial" w:eastAsia="Arial" w:hAnsi="Arial" w:cs="Arial"/>
          <w:color w:val="000000"/>
          <w:sz w:val="20"/>
        </w:rPr>
        <w:t>Current through the 2022 Regular Session.</w:t>
      </w:r>
    </w:p>
    <w:p w14:paraId="4AAC3F58" w14:textId="77777777" w:rsidR="00BD0CC9" w:rsidRDefault="00BD0CC9">
      <w:pPr>
        <w:spacing w:line="240" w:lineRule="atLeast"/>
        <w:jc w:val="both"/>
        <w:rPr>
          <w:rFonts w:ascii="Arial" w:eastAsia="Arial" w:hAnsi="Arial" w:cs="Arial"/>
          <w:sz w:val="20"/>
        </w:rPr>
      </w:pPr>
    </w:p>
    <w:p w14:paraId="4D070130" w14:textId="77777777" w:rsidR="00BD0CC9" w:rsidRDefault="00017AF2">
      <w:pPr>
        <w:spacing w:before="200" w:line="280" w:lineRule="atLeast"/>
        <w:rPr>
          <w:rFonts w:ascii="Arial" w:eastAsia="Arial" w:hAnsi="Arial" w:cs="Arial"/>
          <w:sz w:val="20"/>
        </w:rPr>
      </w:pPr>
      <w:r>
        <w:rPr>
          <w:rFonts w:ascii="Arial" w:eastAsia="Arial" w:hAnsi="Arial" w:cs="Arial"/>
          <w:b/>
          <w:i/>
          <w:color w:val="000000"/>
          <w:sz w:val="22"/>
        </w:rPr>
        <w:t>TN - Tennessee Code Annotated</w:t>
      </w:r>
      <w:r>
        <w:rPr>
          <w:rFonts w:ascii="Arial" w:eastAsia="Arial" w:hAnsi="Arial" w:cs="Arial"/>
          <w:b/>
          <w:color w:val="000000"/>
          <w:sz w:val="22"/>
        </w:rPr>
        <w:t xml:space="preserve">  &gt;  </w:t>
      </w:r>
      <w:r>
        <w:rPr>
          <w:rFonts w:ascii="Arial" w:eastAsia="Arial" w:hAnsi="Arial" w:cs="Arial"/>
          <w:b/>
          <w:i/>
          <w:color w:val="000000"/>
          <w:sz w:val="22"/>
        </w:rPr>
        <w:t>Title 39 Criminal Offenses</w:t>
      </w:r>
      <w:r>
        <w:rPr>
          <w:rFonts w:ascii="Arial" w:eastAsia="Arial" w:hAnsi="Arial" w:cs="Arial"/>
          <w:b/>
          <w:color w:val="000000"/>
          <w:sz w:val="22"/>
        </w:rPr>
        <w:t xml:space="preserve">  &gt;  </w:t>
      </w:r>
      <w:r>
        <w:rPr>
          <w:rFonts w:ascii="Arial" w:eastAsia="Arial" w:hAnsi="Arial" w:cs="Arial"/>
          <w:b/>
          <w:i/>
          <w:color w:val="000000"/>
          <w:sz w:val="22"/>
        </w:rPr>
        <w:t>Chapter 17 Offenses Against Public Health, Safety and Welfare</w:t>
      </w:r>
      <w:r>
        <w:rPr>
          <w:rFonts w:ascii="Arial" w:eastAsia="Arial" w:hAnsi="Arial" w:cs="Arial"/>
          <w:b/>
          <w:color w:val="000000"/>
          <w:sz w:val="22"/>
        </w:rPr>
        <w:t xml:space="preserve">  &gt;  </w:t>
      </w:r>
      <w:r>
        <w:rPr>
          <w:rFonts w:ascii="Arial" w:eastAsia="Arial" w:hAnsi="Arial" w:cs="Arial"/>
          <w:b/>
          <w:i/>
          <w:color w:val="000000"/>
          <w:sz w:val="22"/>
        </w:rPr>
        <w:t xml:space="preserve">Part 9 </w:t>
      </w:r>
      <w:r>
        <w:rPr>
          <w:rFonts w:ascii="Arial" w:eastAsia="Arial" w:hAnsi="Arial" w:cs="Arial"/>
          <w:b/>
          <w:i/>
          <w:color w:val="000000"/>
          <w:sz w:val="22"/>
        </w:rPr>
        <w:t>Obscenity</w:t>
      </w:r>
    </w:p>
    <w:p w14:paraId="20C56FB2" w14:textId="77777777" w:rsidR="00BD0CC9" w:rsidRDefault="00017AF2">
      <w:pPr>
        <w:keepNext/>
        <w:spacing w:before="240" w:line="340" w:lineRule="atLeast"/>
        <w:rPr>
          <w:rFonts w:ascii="Arial" w:eastAsia="Arial" w:hAnsi="Arial" w:cs="Arial"/>
          <w:sz w:val="20"/>
        </w:rPr>
      </w:pPr>
      <w:r>
        <w:rPr>
          <w:rFonts w:ascii="Arial" w:eastAsia="Arial" w:hAnsi="Arial" w:cs="Arial"/>
          <w:sz w:val="20"/>
        </w:rPr>
        <w:br/>
      </w:r>
      <w:r>
        <w:rPr>
          <w:rFonts w:ascii="Arial" w:eastAsia="Arial" w:hAnsi="Arial" w:cs="Arial"/>
          <w:b/>
          <w:i/>
          <w:color w:val="000000"/>
          <w:sz w:val="28"/>
          <w:u w:val="single"/>
        </w:rPr>
        <w:t>39-17-905</w:t>
      </w:r>
      <w:r>
        <w:rPr>
          <w:rFonts w:ascii="Arial" w:eastAsia="Arial" w:hAnsi="Arial" w:cs="Arial"/>
          <w:b/>
          <w:color w:val="000000"/>
          <w:sz w:val="28"/>
        </w:rPr>
        <w:t xml:space="preserve">. Temporary restraining orders and injunctions — Trial — Judgment — Review. </w:t>
      </w:r>
    </w:p>
    <w:p w14:paraId="515AD0A9" w14:textId="77777777" w:rsidR="00BD0CC9" w:rsidRDefault="00017AF2">
      <w:pPr>
        <w:spacing w:line="60" w:lineRule="exact"/>
        <w:rPr>
          <w:rFonts w:ascii="Arial" w:eastAsia="Arial" w:hAnsi="Arial" w:cs="Arial"/>
          <w:sz w:val="20"/>
        </w:rPr>
      </w:pPr>
      <w:r>
        <w:pict w14:anchorId="6F24739C">
          <v:line id="_x0000_s1026" style="position:absolute;z-index:251658240" from="0,2pt" to="512pt,2pt" strokecolor="#009ddb" strokeweight="2pt">
            <w10:wrap type="topAndBottom"/>
          </v:line>
        </w:pict>
      </w:r>
    </w:p>
    <w:p w14:paraId="2403CACC" w14:textId="77777777" w:rsidR="00BD0CC9" w:rsidRDefault="00BD0CC9">
      <w:pPr>
        <w:rPr>
          <w:rFonts w:ascii="Arial" w:eastAsia="Arial" w:hAnsi="Arial" w:cs="Arial"/>
          <w:sz w:val="20"/>
        </w:rPr>
      </w:pPr>
    </w:p>
    <w:p w14:paraId="4087C110" w14:textId="77777777" w:rsidR="00BD0CC9" w:rsidRDefault="00017AF2">
      <w:pPr>
        <w:spacing w:before="120" w:line="260" w:lineRule="atLeast"/>
        <w:ind w:left="720"/>
        <w:rPr>
          <w:rFonts w:ascii="Arial" w:eastAsia="Arial" w:hAnsi="Arial" w:cs="Arial"/>
          <w:sz w:val="20"/>
        </w:rPr>
      </w:pPr>
      <w:r>
        <w:rPr>
          <w:rFonts w:ascii="Arial" w:eastAsia="Arial" w:hAnsi="Arial" w:cs="Arial"/>
          <w:b/>
          <w:sz w:val="20"/>
        </w:rPr>
        <w:t xml:space="preserve">(a)  </w:t>
      </w:r>
      <w:bookmarkStart w:id="1" w:name="Bookmark__a"/>
      <w:bookmarkEnd w:id="1"/>
      <w:r>
        <w:rPr>
          <w:rFonts w:ascii="Arial" w:eastAsia="Arial" w:hAnsi="Arial" w:cs="Arial"/>
          <w:color w:val="000000"/>
          <w:sz w:val="20"/>
        </w:rPr>
        <w:t>The circuit, chancery, or criminal courts of this state and the chancellors and judges of those courts shall have full power, authority, and jurisdicti</w:t>
      </w:r>
      <w:r>
        <w:rPr>
          <w:rFonts w:ascii="Arial" w:eastAsia="Arial" w:hAnsi="Arial" w:cs="Arial"/>
          <w:color w:val="000000"/>
          <w:sz w:val="20"/>
        </w:rPr>
        <w:t xml:space="preserve">on, upon application by sworn detailed petition </w:t>
      </w:r>
      <w:r w:rsidRPr="00017AF2">
        <w:rPr>
          <w:rFonts w:ascii="Arial" w:eastAsia="Arial" w:hAnsi="Arial" w:cs="Arial"/>
          <w:color w:val="000000"/>
          <w:sz w:val="20"/>
          <w:highlight w:val="yellow"/>
        </w:rPr>
        <w:t>filed by the district attorney general</w:t>
      </w:r>
      <w:r>
        <w:rPr>
          <w:rFonts w:ascii="Arial" w:eastAsia="Arial" w:hAnsi="Arial" w:cs="Arial"/>
          <w:color w:val="000000"/>
          <w:sz w:val="20"/>
        </w:rPr>
        <w:t xml:space="preserve"> within their respective jurisdictions, to issue any and all proper temporary restraining orders, temporary and permanent injunctions, and any other writs and processes a</w:t>
      </w:r>
      <w:r>
        <w:rPr>
          <w:rFonts w:ascii="Arial" w:eastAsia="Arial" w:hAnsi="Arial" w:cs="Arial"/>
          <w:color w:val="000000"/>
          <w:sz w:val="20"/>
        </w:rPr>
        <w:t xml:space="preserve">ppropriate to carry out and enforce </w:t>
      </w:r>
      <w:hyperlink r:id="rId23" w:history="1">
        <w:r>
          <w:rPr>
            <w:rFonts w:ascii="Arial" w:eastAsia="Arial" w:hAnsi="Arial" w:cs="Arial"/>
            <w:i/>
            <w:color w:val="0077CC"/>
            <w:sz w:val="20"/>
            <w:u w:val="single"/>
            <w:shd w:val="clear" w:color="auto" w:fill="FFFFFF"/>
          </w:rPr>
          <w:t>§§ 39-17-901</w:t>
        </w:r>
      </w:hyperlink>
      <w:r>
        <w:rPr>
          <w:rFonts w:ascii="Arial" w:eastAsia="Arial" w:hAnsi="Arial" w:cs="Arial"/>
          <w:color w:val="000000"/>
          <w:sz w:val="20"/>
        </w:rPr>
        <w:t xml:space="preserve"> — </w:t>
      </w:r>
      <w:hyperlink r:id="rId24" w:history="1">
        <w:r>
          <w:rPr>
            <w:rFonts w:ascii="Arial" w:eastAsia="Arial" w:hAnsi="Arial" w:cs="Arial"/>
            <w:i/>
            <w:color w:val="0077CC"/>
            <w:sz w:val="20"/>
            <w:u w:val="single"/>
            <w:shd w:val="clear" w:color="auto" w:fill="FFFFFF"/>
          </w:rPr>
          <w:t>39-17-908</w:t>
        </w:r>
      </w:hyperlink>
      <w:r>
        <w:rPr>
          <w:rFonts w:ascii="Arial" w:eastAsia="Arial" w:hAnsi="Arial" w:cs="Arial"/>
          <w:color w:val="000000"/>
          <w:sz w:val="20"/>
        </w:rPr>
        <w:t xml:space="preserve">. However, this section shall not be construed to authorize the issue of ex </w:t>
      </w:r>
      <w:proofErr w:type="spellStart"/>
      <w:r>
        <w:rPr>
          <w:rFonts w:ascii="Arial" w:eastAsia="Arial" w:hAnsi="Arial" w:cs="Arial"/>
          <w:color w:val="000000"/>
          <w:sz w:val="20"/>
        </w:rPr>
        <w:t>parte</w:t>
      </w:r>
      <w:proofErr w:type="spellEnd"/>
      <w:r>
        <w:rPr>
          <w:rFonts w:ascii="Arial" w:eastAsia="Arial" w:hAnsi="Arial" w:cs="Arial"/>
          <w:color w:val="000000"/>
          <w:sz w:val="20"/>
        </w:rPr>
        <w:t xml:space="preserve"> temporary injunctio</w:t>
      </w:r>
      <w:r>
        <w:rPr>
          <w:rFonts w:ascii="Arial" w:eastAsia="Arial" w:hAnsi="Arial" w:cs="Arial"/>
          <w:color w:val="000000"/>
          <w:sz w:val="20"/>
        </w:rPr>
        <w:t xml:space="preserve">ns preventing further regularly scheduled exhibition of motion picture films by commercial theaters, such injunction to issue only upon at least one (1) </w:t>
      </w:r>
      <w:proofErr w:type="spellStart"/>
      <w:r>
        <w:rPr>
          <w:rFonts w:ascii="Arial" w:eastAsia="Arial" w:hAnsi="Arial" w:cs="Arial"/>
          <w:color w:val="000000"/>
          <w:sz w:val="20"/>
        </w:rPr>
        <w:t>day's notice</w:t>
      </w:r>
      <w:proofErr w:type="spellEnd"/>
      <w:r>
        <w:rPr>
          <w:rFonts w:ascii="Arial" w:eastAsia="Arial" w:hAnsi="Arial" w:cs="Arial"/>
          <w:color w:val="000000"/>
          <w:sz w:val="20"/>
        </w:rPr>
        <w:t>, but the court may immediately forbid the removing, destroying, deleting, splicing, amendi</w:t>
      </w:r>
      <w:r>
        <w:rPr>
          <w:rFonts w:ascii="Arial" w:eastAsia="Arial" w:hAnsi="Arial" w:cs="Arial"/>
          <w:color w:val="000000"/>
          <w:sz w:val="20"/>
        </w:rPr>
        <w:t>ng or otherwise altering the matter alleged to be obscene.</w:t>
      </w:r>
    </w:p>
    <w:p w14:paraId="33064B32" w14:textId="77777777" w:rsidR="00BD0CC9" w:rsidRDefault="00017AF2">
      <w:pPr>
        <w:spacing w:before="120" w:line="260" w:lineRule="atLeast"/>
        <w:ind w:left="720"/>
        <w:rPr>
          <w:rFonts w:ascii="Arial" w:eastAsia="Arial" w:hAnsi="Arial" w:cs="Arial"/>
          <w:sz w:val="20"/>
        </w:rPr>
      </w:pPr>
      <w:r>
        <w:rPr>
          <w:rFonts w:ascii="Arial" w:eastAsia="Arial" w:hAnsi="Arial" w:cs="Arial"/>
          <w:b/>
          <w:sz w:val="20"/>
        </w:rPr>
        <w:t xml:space="preserve">(b)  </w:t>
      </w:r>
      <w:bookmarkStart w:id="2" w:name="Bookmark__b"/>
      <w:bookmarkEnd w:id="2"/>
      <w:r>
        <w:rPr>
          <w:rFonts w:ascii="Arial" w:eastAsia="Arial" w:hAnsi="Arial" w:cs="Arial"/>
          <w:color w:val="000000"/>
          <w:sz w:val="20"/>
        </w:rPr>
        <w:t>The person to be enjoined shall be entitled to trial of the issues within two (2) days after joinder of issue, and a decision shall be rendered by the court within two (2) days of the conclusi</w:t>
      </w:r>
      <w:r>
        <w:rPr>
          <w:rFonts w:ascii="Arial" w:eastAsia="Arial" w:hAnsi="Arial" w:cs="Arial"/>
          <w:color w:val="000000"/>
          <w:sz w:val="20"/>
        </w:rPr>
        <w:t xml:space="preserve">on of the trial. In order to facilitate the introduction of evidence at any hearing as provided in this section, the court is empowered to order defendants named in any proceeding set out in this section to produce one (1) copy of the matter alleged to be </w:t>
      </w:r>
      <w:r>
        <w:rPr>
          <w:rFonts w:ascii="Arial" w:eastAsia="Arial" w:hAnsi="Arial" w:cs="Arial"/>
          <w:color w:val="000000"/>
          <w:sz w:val="20"/>
        </w:rPr>
        <w:t>obscene, along with necessary viewing equipment, in open court at the time of the hearing or at any other time agreed upon by the parties and the court. In proceedings under this section, there shall be no right to trial by jury. If the defendant in any su</w:t>
      </w:r>
      <w:r>
        <w:rPr>
          <w:rFonts w:ascii="Arial" w:eastAsia="Arial" w:hAnsi="Arial" w:cs="Arial"/>
          <w:color w:val="000000"/>
          <w:sz w:val="20"/>
        </w:rPr>
        <w:t xml:space="preserve">it for injunction filed under the terms of this section shall fail to answer or otherwise join issue within twenty (20) days after the filing of a petition for injunction, the court, on motion of the district attorney general, shall enter a general denial </w:t>
      </w:r>
      <w:r>
        <w:rPr>
          <w:rFonts w:ascii="Arial" w:eastAsia="Arial" w:hAnsi="Arial" w:cs="Arial"/>
          <w:color w:val="000000"/>
          <w:sz w:val="20"/>
        </w:rPr>
        <w:t>for the defendant, and set a date for hearing on the questions raised in the petition for injunction within ten (10) days following the entry of the denial entered by the court, and the court shall render its decision within two (2) days after the conclusi</w:t>
      </w:r>
      <w:r>
        <w:rPr>
          <w:rFonts w:ascii="Arial" w:eastAsia="Arial" w:hAnsi="Arial" w:cs="Arial"/>
          <w:color w:val="000000"/>
          <w:sz w:val="20"/>
        </w:rPr>
        <w:t>on of that hearing.</w:t>
      </w:r>
    </w:p>
    <w:p w14:paraId="137F827A" w14:textId="77777777" w:rsidR="00BD0CC9" w:rsidRDefault="00017AF2">
      <w:pPr>
        <w:spacing w:before="120" w:line="260" w:lineRule="atLeast"/>
        <w:ind w:left="720"/>
        <w:rPr>
          <w:rFonts w:ascii="Arial" w:eastAsia="Arial" w:hAnsi="Arial" w:cs="Arial"/>
          <w:sz w:val="20"/>
        </w:rPr>
      </w:pPr>
      <w:r>
        <w:rPr>
          <w:rFonts w:ascii="Arial" w:eastAsia="Arial" w:hAnsi="Arial" w:cs="Arial"/>
          <w:b/>
          <w:sz w:val="20"/>
        </w:rPr>
        <w:t xml:space="preserve">(c)  </w:t>
      </w:r>
      <w:bookmarkStart w:id="3" w:name="Bookmark__c"/>
      <w:bookmarkEnd w:id="3"/>
      <w:r>
        <w:rPr>
          <w:rFonts w:ascii="Arial" w:eastAsia="Arial" w:hAnsi="Arial" w:cs="Arial"/>
          <w:color w:val="000000"/>
          <w:sz w:val="20"/>
        </w:rPr>
        <w:t>In the event that a final order or judgment of injunction is entered against the person sought to be enjoined, the final order or judgment shall contain a provision directing the person to surrender to the clerk of the court of the</w:t>
      </w:r>
      <w:r>
        <w:rPr>
          <w:rFonts w:ascii="Arial" w:eastAsia="Arial" w:hAnsi="Arial" w:cs="Arial"/>
          <w:color w:val="000000"/>
          <w:sz w:val="20"/>
        </w:rPr>
        <w:t xml:space="preserve"> county in which the proceedings were brought any of the obscene matter in the person's possession, and the clerk shall be directed to hold the matter in the clerk's possession to be used as evidence in any criminal proceedings in which the matter is in is</w:t>
      </w:r>
      <w:r>
        <w:rPr>
          <w:rFonts w:ascii="Arial" w:eastAsia="Arial" w:hAnsi="Arial" w:cs="Arial"/>
          <w:color w:val="000000"/>
          <w:sz w:val="20"/>
        </w:rPr>
        <w:t>sue, but if no indictment is returned concerning the matter within six (6) months of the entry of final order, the clerk shall destroy the matter.</w:t>
      </w:r>
    </w:p>
    <w:p w14:paraId="1DBD3679" w14:textId="77777777" w:rsidR="00BD0CC9" w:rsidRDefault="00017AF2">
      <w:pPr>
        <w:spacing w:before="120" w:line="260" w:lineRule="atLeast"/>
        <w:ind w:left="720"/>
        <w:rPr>
          <w:rFonts w:ascii="Arial" w:eastAsia="Arial" w:hAnsi="Arial" w:cs="Arial"/>
          <w:sz w:val="20"/>
        </w:rPr>
      </w:pPr>
      <w:r>
        <w:rPr>
          <w:rFonts w:ascii="Arial" w:eastAsia="Arial" w:hAnsi="Arial" w:cs="Arial"/>
          <w:b/>
          <w:sz w:val="20"/>
        </w:rPr>
        <w:t xml:space="preserve">(d)  </w:t>
      </w:r>
      <w:bookmarkStart w:id="4" w:name="Bookmark__d"/>
      <w:bookmarkEnd w:id="4"/>
      <w:r>
        <w:rPr>
          <w:rFonts w:ascii="Arial" w:eastAsia="Arial" w:hAnsi="Arial" w:cs="Arial"/>
          <w:color w:val="000000"/>
          <w:sz w:val="20"/>
        </w:rPr>
        <w:t>Any party, including the district attorney general, shall be entitled to an appeal from an adverse decis</w:t>
      </w:r>
      <w:r>
        <w:rPr>
          <w:rFonts w:ascii="Arial" w:eastAsia="Arial" w:hAnsi="Arial" w:cs="Arial"/>
          <w:color w:val="000000"/>
          <w:sz w:val="20"/>
        </w:rPr>
        <w:t>ion of the court. The granting of an appeal shall have the effect of staying or suspending any order to destroy but not an order to seize the matter, nor shall the granting of an appeal suspend any permanent injunction granted by the trial court.</w:t>
      </w:r>
    </w:p>
    <w:p w14:paraId="7EDF839D" w14:textId="77777777" w:rsidR="00BD0CC9" w:rsidRDefault="00017AF2">
      <w:pPr>
        <w:keepNext/>
        <w:spacing w:before="240" w:line="340" w:lineRule="atLeast"/>
        <w:rPr>
          <w:rFonts w:ascii="Arial" w:eastAsia="Arial" w:hAnsi="Arial" w:cs="Arial"/>
          <w:sz w:val="20"/>
        </w:rPr>
      </w:pPr>
      <w:bookmarkStart w:id="5" w:name="History"/>
      <w:bookmarkEnd w:id="5"/>
      <w:r>
        <w:rPr>
          <w:rFonts w:ascii="Arial" w:eastAsia="Arial" w:hAnsi="Arial" w:cs="Arial"/>
          <w:b/>
          <w:color w:val="000000"/>
          <w:sz w:val="28"/>
        </w:rPr>
        <w:t>History</w:t>
      </w:r>
    </w:p>
    <w:p w14:paraId="5FC91F0F" w14:textId="77777777" w:rsidR="00BD0CC9" w:rsidRDefault="00017AF2">
      <w:pPr>
        <w:spacing w:line="60" w:lineRule="exact"/>
        <w:rPr>
          <w:rFonts w:ascii="Arial" w:eastAsia="Arial" w:hAnsi="Arial" w:cs="Arial"/>
          <w:sz w:val="20"/>
        </w:rPr>
      </w:pPr>
      <w:r>
        <w:pict w14:anchorId="647415AA">
          <v:line id="_x0000_s1027" style="position:absolute;z-index:251659264" from="0,2pt" to="512pt,2pt" strokecolor="#009ddb" strokeweight="2pt">
            <w10:wrap type="topAndBottom"/>
          </v:line>
        </w:pict>
      </w:r>
    </w:p>
    <w:p w14:paraId="41B97A8F" w14:textId="77777777" w:rsidR="00BD0CC9" w:rsidRDefault="00BD0CC9">
      <w:pPr>
        <w:spacing w:line="120" w:lineRule="exact"/>
        <w:rPr>
          <w:rFonts w:ascii="Arial" w:eastAsia="Arial" w:hAnsi="Arial" w:cs="Arial"/>
          <w:sz w:val="20"/>
        </w:rPr>
      </w:pPr>
    </w:p>
    <w:p w14:paraId="039FA050" w14:textId="77777777" w:rsidR="00BD0CC9" w:rsidRDefault="00017AF2">
      <w:pPr>
        <w:spacing w:before="240" w:line="260" w:lineRule="atLeast"/>
        <w:rPr>
          <w:rFonts w:ascii="Arial" w:eastAsia="Arial" w:hAnsi="Arial" w:cs="Arial"/>
          <w:sz w:val="20"/>
        </w:rPr>
      </w:pPr>
      <w:r>
        <w:rPr>
          <w:rFonts w:ascii="Arial" w:eastAsia="Arial" w:hAnsi="Arial" w:cs="Arial"/>
          <w:color w:val="000000"/>
          <w:sz w:val="20"/>
        </w:rPr>
        <w:lastRenderedPageBreak/>
        <w:t xml:space="preserve">                                    </w:t>
      </w:r>
      <w:r>
        <w:rPr>
          <w:rFonts w:ascii="Arial" w:eastAsia="Arial" w:hAnsi="Arial" w:cs="Arial"/>
          <w:sz w:val="20"/>
        </w:rPr>
        <w:br/>
      </w:r>
      <w:hyperlink r:id="rId25" w:history="1">
        <w:r>
          <w:rPr>
            <w:rFonts w:ascii="Arial" w:eastAsia="Arial" w:hAnsi="Arial" w:cs="Arial"/>
            <w:i/>
            <w:color w:val="0077CC"/>
            <w:sz w:val="20"/>
            <w:u w:val="single"/>
            <w:shd w:val="clear" w:color="auto" w:fill="FFFFFF"/>
          </w:rPr>
          <w:t xml:space="preserve">Acts 1989, </w:t>
        </w:r>
        <w:proofErr w:type="spellStart"/>
        <w:r>
          <w:rPr>
            <w:rFonts w:ascii="Arial" w:eastAsia="Arial" w:hAnsi="Arial" w:cs="Arial"/>
            <w:i/>
            <w:color w:val="0077CC"/>
            <w:sz w:val="20"/>
            <w:u w:val="single"/>
            <w:shd w:val="clear" w:color="auto" w:fill="FFFFFF"/>
          </w:rPr>
          <w:t>ch.</w:t>
        </w:r>
        <w:proofErr w:type="spellEnd"/>
        <w:r>
          <w:rPr>
            <w:rFonts w:ascii="Arial" w:eastAsia="Arial" w:hAnsi="Arial" w:cs="Arial"/>
            <w:i/>
            <w:color w:val="0077CC"/>
            <w:sz w:val="20"/>
            <w:u w:val="single"/>
            <w:shd w:val="clear" w:color="auto" w:fill="FFFFFF"/>
          </w:rPr>
          <w:t xml:space="preserve"> 591, § 1</w:t>
        </w:r>
      </w:hyperlink>
      <w:r>
        <w:rPr>
          <w:rFonts w:ascii="Arial" w:eastAsia="Arial" w:hAnsi="Arial" w:cs="Arial"/>
          <w:color w:val="000000"/>
          <w:sz w:val="20"/>
        </w:rPr>
        <w:t xml:space="preserve">.                                 </w:t>
      </w:r>
    </w:p>
    <w:p w14:paraId="1DD5C0CE" w14:textId="77777777" w:rsidR="00BD0CC9" w:rsidRDefault="00017AF2">
      <w:pPr>
        <w:spacing w:before="240" w:line="260" w:lineRule="atLeast"/>
        <w:rPr>
          <w:rFonts w:ascii="Arial" w:eastAsia="Arial" w:hAnsi="Arial" w:cs="Arial"/>
          <w:sz w:val="20"/>
        </w:rPr>
      </w:pPr>
      <w:bookmarkStart w:id="6" w:name="Annotations"/>
      <w:bookmarkEnd w:id="6"/>
      <w:r>
        <w:rPr>
          <w:rFonts w:ascii="Arial" w:eastAsia="Arial" w:hAnsi="Arial" w:cs="Arial"/>
          <w:color w:val="000000"/>
          <w:sz w:val="20"/>
        </w:rPr>
        <w:t>Annotations</w:t>
      </w:r>
    </w:p>
    <w:p w14:paraId="2C526AF7" w14:textId="77777777" w:rsidR="00BD0CC9" w:rsidRDefault="00017AF2">
      <w:pPr>
        <w:keepNext/>
        <w:spacing w:before="240" w:line="340" w:lineRule="atLeast"/>
        <w:rPr>
          <w:rFonts w:ascii="Arial" w:eastAsia="Arial" w:hAnsi="Arial" w:cs="Arial"/>
          <w:sz w:val="20"/>
        </w:rPr>
      </w:pPr>
      <w:bookmarkStart w:id="7" w:name="Research_References_&amp;_Practice_Aids"/>
      <w:bookmarkEnd w:id="7"/>
      <w:r>
        <w:rPr>
          <w:rFonts w:ascii="Arial" w:eastAsia="Arial" w:hAnsi="Arial" w:cs="Arial"/>
          <w:b/>
          <w:color w:val="000000"/>
          <w:sz w:val="28"/>
        </w:rPr>
        <w:t>Research References &amp; Practice Aids</w:t>
      </w:r>
    </w:p>
    <w:p w14:paraId="70DE4E2F" w14:textId="77777777" w:rsidR="00BD0CC9" w:rsidRDefault="00017AF2">
      <w:pPr>
        <w:spacing w:line="60" w:lineRule="exact"/>
        <w:rPr>
          <w:rFonts w:ascii="Arial" w:eastAsia="Arial" w:hAnsi="Arial" w:cs="Arial"/>
          <w:sz w:val="20"/>
        </w:rPr>
      </w:pPr>
      <w:r>
        <w:pict w14:anchorId="54700D79">
          <v:line id="_x0000_s1028" style="position:absolute;z-index:251660288" from="0,2pt" to="512pt,2pt" strokecolor="#009ddb" strokeweight="2pt">
            <w10:wrap type="topAndBottom"/>
          </v:line>
        </w:pict>
      </w:r>
    </w:p>
    <w:p w14:paraId="1B6A53B8" w14:textId="77777777" w:rsidR="00BD0CC9" w:rsidRDefault="00017AF2">
      <w:pPr>
        <w:spacing w:before="240" w:line="260" w:lineRule="atLeast"/>
        <w:rPr>
          <w:rFonts w:ascii="Arial" w:eastAsia="Arial" w:hAnsi="Arial" w:cs="Arial"/>
          <w:sz w:val="20"/>
        </w:rPr>
      </w:pPr>
      <w:r>
        <w:rPr>
          <w:rFonts w:ascii="Arial" w:eastAsia="Arial" w:hAnsi="Arial" w:cs="Arial"/>
          <w:color w:val="000000"/>
          <w:sz w:val="20"/>
        </w:rPr>
        <w:t xml:space="preserve">                                       </w:t>
      </w:r>
    </w:p>
    <w:p w14:paraId="591A6A05" w14:textId="77777777" w:rsidR="00BD0CC9" w:rsidRDefault="00017AF2">
      <w:pPr>
        <w:spacing w:before="120" w:line="260" w:lineRule="atLeast"/>
        <w:rPr>
          <w:rFonts w:ascii="Arial" w:eastAsia="Arial" w:hAnsi="Arial" w:cs="Arial"/>
          <w:sz w:val="20"/>
        </w:rPr>
      </w:pPr>
      <w:r>
        <w:rPr>
          <w:rFonts w:ascii="Arial" w:eastAsia="Arial" w:hAnsi="Arial" w:cs="Arial"/>
          <w:color w:val="000000"/>
          <w:sz w:val="20"/>
        </w:rPr>
        <w:t xml:space="preserve">                                          </w:t>
      </w:r>
    </w:p>
    <w:p w14:paraId="65623A26" w14:textId="77777777" w:rsidR="00BD0CC9" w:rsidRDefault="00017AF2">
      <w:pPr>
        <w:spacing w:before="240" w:line="260" w:lineRule="atLeast"/>
        <w:rPr>
          <w:rFonts w:ascii="Arial" w:eastAsia="Arial" w:hAnsi="Arial" w:cs="Arial"/>
          <w:sz w:val="20"/>
        </w:rPr>
      </w:pPr>
      <w:r>
        <w:rPr>
          <w:rFonts w:ascii="Arial" w:eastAsia="Arial" w:hAnsi="Arial" w:cs="Arial"/>
          <w:b/>
          <w:color w:val="000000"/>
          <w:sz w:val="20"/>
        </w:rPr>
        <w:t>Law Reviews. </w:t>
      </w:r>
    </w:p>
    <w:p w14:paraId="045DB912" w14:textId="77777777" w:rsidR="00BD0CC9" w:rsidRDefault="00017AF2">
      <w:pPr>
        <w:spacing w:before="120" w:line="260" w:lineRule="atLeast"/>
        <w:rPr>
          <w:rFonts w:ascii="Arial" w:eastAsia="Arial" w:hAnsi="Arial" w:cs="Arial"/>
          <w:sz w:val="20"/>
        </w:rPr>
      </w:pPr>
      <w:r>
        <w:rPr>
          <w:rFonts w:ascii="Arial" w:eastAsia="Arial" w:hAnsi="Arial" w:cs="Arial"/>
          <w:color w:val="000000"/>
          <w:sz w:val="20"/>
        </w:rPr>
        <w:t xml:space="preserve">                                                                                       </w:t>
      </w:r>
    </w:p>
    <w:p w14:paraId="1A91A548" w14:textId="77777777" w:rsidR="00BD0CC9" w:rsidRDefault="00017AF2">
      <w:pPr>
        <w:spacing w:before="200" w:line="260" w:lineRule="atLeast"/>
        <w:jc w:val="both"/>
        <w:rPr>
          <w:rFonts w:ascii="Arial" w:eastAsia="Arial" w:hAnsi="Arial" w:cs="Arial"/>
          <w:sz w:val="20"/>
        </w:rPr>
      </w:pPr>
      <w:r>
        <w:rPr>
          <w:rFonts w:ascii="Arial" w:eastAsia="Arial" w:hAnsi="Arial" w:cs="Arial"/>
          <w:color w:val="000000"/>
          <w:sz w:val="20"/>
        </w:rPr>
        <w:t>Tennessee Appellate Procedure and the Uniform Administrative Procedures Act (William J. Harbison), 6 Mem. St. U.L. Rev. 291 (1976).</w:t>
      </w:r>
    </w:p>
    <w:p w14:paraId="607E8868" w14:textId="77777777" w:rsidR="00BD0CC9" w:rsidRDefault="00017AF2">
      <w:pPr>
        <w:spacing w:before="120" w:line="260" w:lineRule="atLeast"/>
        <w:rPr>
          <w:rFonts w:ascii="Arial" w:eastAsia="Arial" w:hAnsi="Arial" w:cs="Arial"/>
          <w:sz w:val="20"/>
        </w:rPr>
      </w:pPr>
      <w:r>
        <w:rPr>
          <w:rFonts w:ascii="Arial" w:eastAsia="Arial" w:hAnsi="Arial" w:cs="Arial"/>
          <w:color w:val="000000"/>
          <w:sz w:val="20"/>
        </w:rPr>
        <w:t xml:space="preserve">                                                                                 </w:t>
      </w:r>
    </w:p>
    <w:p w14:paraId="7143E208" w14:textId="77777777" w:rsidR="00BD0CC9" w:rsidRDefault="00017AF2">
      <w:pPr>
        <w:spacing w:before="240" w:line="260" w:lineRule="atLeast"/>
        <w:rPr>
          <w:rFonts w:ascii="Arial" w:eastAsia="Arial" w:hAnsi="Arial" w:cs="Arial"/>
          <w:sz w:val="20"/>
        </w:rPr>
      </w:pPr>
      <w:r>
        <w:rPr>
          <w:rFonts w:ascii="Arial" w:eastAsia="Arial" w:hAnsi="Arial" w:cs="Arial"/>
          <w:color w:val="000000"/>
          <w:sz w:val="20"/>
        </w:rPr>
        <w:t xml:space="preserve">                                    </w:t>
      </w:r>
    </w:p>
    <w:p w14:paraId="54434E75" w14:textId="77777777" w:rsidR="00BD0CC9" w:rsidRDefault="00017AF2">
      <w:pPr>
        <w:spacing w:before="120" w:line="220" w:lineRule="atLeast"/>
        <w:rPr>
          <w:rFonts w:ascii="Arial" w:eastAsia="Arial" w:hAnsi="Arial" w:cs="Arial"/>
          <w:sz w:val="20"/>
        </w:rPr>
      </w:pPr>
      <w:r>
        <w:rPr>
          <w:rFonts w:ascii="Arial" w:eastAsia="Arial" w:hAnsi="Arial" w:cs="Arial"/>
          <w:sz w:val="20"/>
        </w:rPr>
        <w:br/>
      </w:r>
      <w:r>
        <w:rPr>
          <w:rFonts w:ascii="Arial" w:eastAsia="Arial" w:hAnsi="Arial" w:cs="Arial"/>
          <w:color w:val="000000"/>
          <w:sz w:val="16"/>
        </w:rPr>
        <w:t>TENNESSEE CODE ANNOTATED</w:t>
      </w:r>
    </w:p>
    <w:p w14:paraId="3525BA97" w14:textId="77777777" w:rsidR="00BD0CC9" w:rsidRDefault="00017AF2">
      <w:pPr>
        <w:spacing w:line="220" w:lineRule="atLeast"/>
        <w:rPr>
          <w:rFonts w:ascii="Arial" w:eastAsia="Arial" w:hAnsi="Arial" w:cs="Arial"/>
          <w:sz w:val="20"/>
        </w:rPr>
      </w:pPr>
      <w:r>
        <w:rPr>
          <w:rFonts w:ascii="Arial" w:eastAsia="Arial" w:hAnsi="Arial" w:cs="Arial"/>
          <w:color w:val="000000"/>
          <w:sz w:val="16"/>
        </w:rPr>
        <w:t>Copyright © 2022 by The State of Tennessee All rights reserved</w:t>
      </w:r>
    </w:p>
    <w:p w14:paraId="037415C4" w14:textId="77777777" w:rsidR="00BD0CC9" w:rsidRDefault="00BD0CC9">
      <w:pPr>
        <w:rPr>
          <w:rFonts w:ascii="Arial" w:eastAsia="Arial" w:hAnsi="Arial" w:cs="Arial"/>
          <w:sz w:val="20"/>
        </w:rPr>
      </w:pPr>
    </w:p>
    <w:p w14:paraId="1773AAB1" w14:textId="77777777" w:rsidR="00BD0CC9" w:rsidRDefault="00017AF2">
      <w:pPr>
        <w:ind w:left="200"/>
        <w:rPr>
          <w:rFonts w:ascii="Arial" w:eastAsia="Arial" w:hAnsi="Arial" w:cs="Arial"/>
          <w:sz w:val="20"/>
        </w:rPr>
      </w:pPr>
      <w:r>
        <w:rPr>
          <w:rFonts w:ascii="Arial" w:eastAsia="Arial" w:hAnsi="Arial" w:cs="Arial"/>
          <w:sz w:val="20"/>
        </w:rPr>
        <w:br/>
      </w:r>
      <w:r>
        <w:pict w14:anchorId="69C1B851">
          <v:line id="_x0000_s1029" style="position:absolute;left:0;text-align:left;z-index:251661312;mso-position-horizontal-relative:text;mso-position-vertical-relative:text" from="0,10pt" to="512pt,10pt" strokeweight="1pt"/>
        </w:pict>
      </w:r>
      <w:r>
        <w:rPr>
          <w:rFonts w:ascii="Arial" w:eastAsia="Arial" w:hAnsi="Arial" w:cs="Arial"/>
          <w:b/>
          <w:color w:val="767676"/>
          <w:sz w:val="16"/>
        </w:rPr>
        <w:t>End of Document</w:t>
      </w:r>
    </w:p>
    <w:sectPr w:rsidR="00BD0CC9">
      <w:type w:val="continuous"/>
      <w:pgSz w:w="12240" w:h="15840"/>
      <w:pgMar w:top="840" w:right="1000" w:bottom="840" w:left="1000" w:header="400" w:footer="4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47A01" w14:textId="77777777" w:rsidR="00000000" w:rsidRDefault="00017AF2">
      <w:r>
        <w:separator/>
      </w:r>
    </w:p>
  </w:endnote>
  <w:endnote w:type="continuationSeparator" w:id="0">
    <w:p w14:paraId="7DDB68D6" w14:textId="77777777" w:rsidR="00000000" w:rsidRDefault="00017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A7B5E" w14:textId="77777777" w:rsidR="00BD0CC9" w:rsidRDefault="00BD0C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40" w:type="dxa"/>
      <w:jc w:val="center"/>
      <w:shd w:val="solid" w:color="000000" w:fill="000000"/>
      <w:tblLayout w:type="fixed"/>
      <w:tblLook w:val="04A0" w:firstRow="1" w:lastRow="0" w:firstColumn="1" w:lastColumn="0" w:noHBand="0" w:noVBand="1"/>
    </w:tblPr>
    <w:tblGrid>
      <w:gridCol w:w="10240"/>
    </w:tblGrid>
    <w:tr w:rsidR="00BD0CC9" w14:paraId="2597B1A0" w14:textId="77777777">
      <w:trPr>
        <w:trHeight w:val="15"/>
        <w:jc w:val="center"/>
      </w:trPr>
      <w:tc>
        <w:tcPr>
          <w:tcW w:w="10240" w:type="dxa"/>
          <w:shd w:val="solid" w:color="000000" w:fill="000000"/>
        </w:tcPr>
        <w:p w14:paraId="72D662C2" w14:textId="77777777" w:rsidR="00BD0CC9" w:rsidRDefault="00BD0CC9">
          <w:pPr>
            <w:spacing w:line="40" w:lineRule="exact"/>
            <w:jc w:val="both"/>
          </w:pPr>
        </w:p>
      </w:tc>
    </w:tr>
  </w:tbl>
  <w:p w14:paraId="4786186C" w14:textId="77777777" w:rsidR="00BD0CC9" w:rsidRDefault="00BD0CC9">
    <w:pPr>
      <w:spacing w:line="40" w:lineRule="exact"/>
      <w:jc w:val="both"/>
    </w:pPr>
  </w:p>
  <w:tbl>
    <w:tblPr>
      <w:tblW w:w="10240" w:type="dxa"/>
      <w:jc w:val="center"/>
      <w:tblLayout w:type="fixed"/>
      <w:tblLook w:val="04A0" w:firstRow="1" w:lastRow="0" w:firstColumn="1" w:lastColumn="0" w:noHBand="0" w:noVBand="1"/>
    </w:tblPr>
    <w:tblGrid>
      <w:gridCol w:w="10240"/>
    </w:tblGrid>
    <w:tr w:rsidR="00BD0CC9" w14:paraId="5468A245" w14:textId="77777777">
      <w:trPr>
        <w:trHeight w:val="480"/>
        <w:jc w:val="center"/>
      </w:trPr>
      <w:tc>
        <w:tcPr>
          <w:tcW w:w="10240" w:type="dxa"/>
          <w:vAlign w:val="center"/>
        </w:tcPr>
        <w:p w14:paraId="7E63C424" w14:textId="77777777" w:rsidR="00BD0CC9" w:rsidRDefault="00017AF2">
          <w:pPr>
            <w:spacing w:line="260" w:lineRule="atLeast"/>
            <w:jc w:val="center"/>
          </w:pPr>
          <w:r>
            <w:pict w14:anchorId="6F04AD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8.25pt;height:15.75pt">
                <v:imagedata r:id="rId1" o:title=""/>
              </v:shape>
            </w:pict>
          </w:r>
          <w:r>
            <w:rPr>
              <w:rFonts w:ascii="Arial" w:eastAsia="Arial" w:hAnsi="Arial" w:cs="Arial"/>
              <w:color w:val="000000"/>
              <w:position w:val="10"/>
              <w:sz w:val="18"/>
            </w:rPr>
            <w:t xml:space="preserve">| </w:t>
          </w:r>
          <w:hyperlink r:id="rId2" w:history="1">
            <w:r>
              <w:rPr>
                <w:rFonts w:ascii="Arial" w:eastAsia="Arial" w:hAnsi="Arial" w:cs="Arial"/>
                <w:color w:val="0077CC"/>
                <w:position w:val="10"/>
                <w:sz w:val="18"/>
                <w:u w:val="single"/>
              </w:rPr>
              <w:t>About LexisNexis</w:t>
            </w:r>
          </w:hyperlink>
          <w:r>
            <w:rPr>
              <w:rFonts w:ascii="Arial" w:eastAsia="Arial" w:hAnsi="Arial" w:cs="Arial"/>
              <w:color w:val="000000"/>
              <w:position w:val="10"/>
              <w:sz w:val="18"/>
            </w:rPr>
            <w:t xml:space="preserve"> | </w:t>
          </w:r>
          <w:hyperlink r:id="rId3" w:history="1">
            <w:r>
              <w:rPr>
                <w:rFonts w:ascii="Arial" w:eastAsia="Arial" w:hAnsi="Arial" w:cs="Arial"/>
                <w:color w:val="0077CC"/>
                <w:position w:val="10"/>
                <w:sz w:val="18"/>
                <w:u w:val="single"/>
              </w:rPr>
              <w:t>Privacy Policy</w:t>
            </w:r>
          </w:hyperlink>
          <w:r>
            <w:rPr>
              <w:rFonts w:ascii="Arial" w:eastAsia="Arial" w:hAnsi="Arial" w:cs="Arial"/>
              <w:color w:val="000000"/>
              <w:position w:val="10"/>
              <w:sz w:val="18"/>
            </w:rPr>
            <w:t xml:space="preserve"> | </w:t>
          </w:r>
          <w:hyperlink r:id="rId4" w:history="1">
            <w:r>
              <w:rPr>
                <w:rFonts w:ascii="Arial" w:eastAsia="Arial" w:hAnsi="Arial" w:cs="Arial"/>
                <w:color w:val="0077CC"/>
                <w:position w:val="10"/>
                <w:sz w:val="18"/>
                <w:u w:val="single"/>
              </w:rPr>
              <w:t>Terms &amp; Conditions</w:t>
            </w:r>
          </w:hyperlink>
          <w:r>
            <w:rPr>
              <w:rFonts w:ascii="Arial" w:eastAsia="Arial" w:hAnsi="Arial" w:cs="Arial"/>
              <w:color w:val="000000"/>
              <w:position w:val="10"/>
              <w:sz w:val="18"/>
            </w:rPr>
            <w:t xml:space="preserve"> | </w:t>
          </w:r>
          <w:hyperlink r:id="rId5" w:history="1">
            <w:r>
              <w:rPr>
                <w:rFonts w:ascii="Arial" w:eastAsia="Arial" w:hAnsi="Arial" w:cs="Arial"/>
                <w:color w:val="0077CC"/>
                <w:position w:val="10"/>
                <w:sz w:val="18"/>
                <w:u w:val="single"/>
              </w:rPr>
              <w:t>Copyright © 2022 LexisNexis</w:t>
            </w:r>
          </w:hyperlink>
        </w:p>
      </w:tc>
    </w:tr>
    <w:tr w:rsidR="00BD0CC9" w14:paraId="4ADB9128" w14:textId="77777777">
      <w:trPr>
        <w:trHeight w:val="620"/>
        <w:jc w:val="center"/>
      </w:trPr>
      <w:tc>
        <w:tcPr>
          <w:tcW w:w="10240" w:type="dxa"/>
        </w:tcPr>
        <w:p w14:paraId="4D262162" w14:textId="77777777" w:rsidR="00BD0CC9" w:rsidRDefault="00017AF2">
          <w:pPr>
            <w:spacing w:line="260" w:lineRule="atLeast"/>
            <w:jc w:val="center"/>
          </w:pPr>
          <w:r>
            <w:rPr>
              <w:rFonts w:ascii="Arial" w:eastAsia="Arial" w:hAnsi="Arial" w:cs="Arial"/>
              <w:color w:val="000000"/>
              <w:position w:val="10"/>
              <w:sz w:val="18"/>
            </w:rPr>
            <w:t>Lloyd Crawford</w:t>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CD5B7" w14:textId="77777777" w:rsidR="00BD0CC9" w:rsidRDefault="00BD0CC9"/>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FAF26" w14:textId="77777777" w:rsidR="00BD0CC9" w:rsidRDefault="00BD0CC9"/>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2600"/>
      <w:gridCol w:w="4880"/>
      <w:gridCol w:w="2600"/>
    </w:tblGrid>
    <w:tr w:rsidR="00BD0CC9" w14:paraId="79EB2E91" w14:textId="77777777">
      <w:trPr>
        <w:jc w:val="center"/>
      </w:trPr>
      <w:tc>
        <w:tcPr>
          <w:tcW w:w="2600" w:type="dxa"/>
          <w:tcMar>
            <w:top w:w="200" w:type="dxa"/>
          </w:tcMar>
          <w:vAlign w:val="center"/>
        </w:tcPr>
        <w:p w14:paraId="5EDB2B08" w14:textId="77777777" w:rsidR="00BD0CC9" w:rsidRDefault="00BD0CC9"/>
      </w:tc>
      <w:tc>
        <w:tcPr>
          <w:tcW w:w="4880" w:type="dxa"/>
          <w:tcMar>
            <w:top w:w="200" w:type="dxa"/>
          </w:tcMar>
          <w:vAlign w:val="center"/>
        </w:tcPr>
        <w:p w14:paraId="190EC5F9" w14:textId="77777777" w:rsidR="00BD0CC9" w:rsidRDefault="00017AF2">
          <w:pPr>
            <w:jc w:val="center"/>
          </w:pPr>
          <w:r>
            <w:rPr>
              <w:rFonts w:ascii="Arial" w:eastAsia="Arial" w:hAnsi="Arial" w:cs="Arial"/>
              <w:sz w:val="20"/>
            </w:rPr>
            <w:t>Lloyd Crawford</w:t>
          </w:r>
        </w:p>
      </w:tc>
      <w:tc>
        <w:tcPr>
          <w:tcW w:w="2600" w:type="dxa"/>
          <w:tcMar>
            <w:top w:w="200" w:type="dxa"/>
          </w:tcMar>
          <w:vAlign w:val="center"/>
        </w:tcPr>
        <w:p w14:paraId="66CDA2CB" w14:textId="77777777" w:rsidR="00BD0CC9" w:rsidRDefault="00BD0CC9"/>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87BE" w14:textId="77777777" w:rsidR="00BD0CC9" w:rsidRDefault="00017AF2">
    <w:pPr>
      <w:spacing w:before="200"/>
      <w:jc w:val="center"/>
    </w:pPr>
    <w:r>
      <w:rPr>
        <w:rFonts w:ascii="Arial" w:eastAsia="Arial" w:hAnsi="Arial" w:cs="Arial"/>
        <w:sz w:val="20"/>
      </w:rPr>
      <w:t>Lloyd Crawford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8E1B4" w14:textId="77777777" w:rsidR="00000000" w:rsidRDefault="00017AF2">
      <w:r>
        <w:separator/>
      </w:r>
    </w:p>
  </w:footnote>
  <w:footnote w:type="continuationSeparator" w:id="0">
    <w:p w14:paraId="6B5BDD1D" w14:textId="77777777" w:rsidR="00000000" w:rsidRDefault="00017A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C892F" w14:textId="77777777" w:rsidR="00BD0CC9" w:rsidRDefault="00BD0C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E075E" w14:textId="77777777" w:rsidR="00BD0CC9" w:rsidRDefault="00BD0CC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6AEF6" w14:textId="77777777" w:rsidR="00BD0CC9" w:rsidRDefault="00BD0C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B4F5D" w14:textId="77777777" w:rsidR="00BD0CC9" w:rsidRDefault="00BD0CC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10080"/>
    </w:tblGrid>
    <w:tr w:rsidR="00BD0CC9" w14:paraId="5F8729C7" w14:textId="77777777">
      <w:trPr>
        <w:jc w:val="center"/>
      </w:trPr>
      <w:tc>
        <w:tcPr>
          <w:tcW w:w="10080" w:type="dxa"/>
          <w:vAlign w:val="center"/>
        </w:tcPr>
        <w:p w14:paraId="43B706A8" w14:textId="5D38B053" w:rsidR="00BD0CC9" w:rsidRDefault="00017AF2">
          <w:pPr>
            <w:jc w:val="right"/>
          </w:pPr>
          <w:r>
            <w:rPr>
              <w:rFonts w:ascii="Arial" w:eastAsia="Arial" w:hAnsi="Arial" w:cs="Arial"/>
              <w:sz w:val="20"/>
            </w:rPr>
            <w:t xml:space="preserve">Page </w:t>
          </w:r>
          <w:r>
            <w:rPr>
              <w:rFonts w:ascii="Arial" w:eastAsia="Arial" w:hAnsi="Arial" w:cs="Arial"/>
              <w:sz w:val="20"/>
            </w:rPr>
            <w:fldChar w:fldCharType="begin"/>
          </w:r>
          <w:r>
            <w:rPr>
              <w:rFonts w:ascii="Arial" w:eastAsia="Arial" w:hAnsi="Arial" w:cs="Arial"/>
              <w:sz w:val="20"/>
            </w:rPr>
            <w:instrText xml:space="preserve"> PAGE </w:instrText>
          </w:r>
          <w:r>
            <w:rPr>
              <w:rFonts w:ascii="Arial" w:eastAsia="Arial" w:hAnsi="Arial" w:cs="Arial"/>
              <w:sz w:val="20"/>
            </w:rPr>
            <w:fldChar w:fldCharType="separate"/>
          </w:r>
          <w:r>
            <w:rPr>
              <w:rFonts w:ascii="Arial" w:eastAsia="Arial" w:hAnsi="Arial" w:cs="Arial"/>
              <w:noProof/>
              <w:sz w:val="20"/>
            </w:rPr>
            <w:t>3</w:t>
          </w:r>
          <w:r>
            <w:rPr>
              <w:rFonts w:ascii="Arial" w:eastAsia="Arial" w:hAnsi="Arial" w:cs="Arial"/>
              <w:sz w:val="20"/>
            </w:rPr>
            <w:fldChar w:fldCharType="end"/>
          </w:r>
          <w:r>
            <w:rPr>
              <w:rFonts w:ascii="Arial" w:eastAsia="Arial" w:hAnsi="Arial" w:cs="Arial"/>
              <w:sz w:val="20"/>
            </w:rPr>
            <w:t xml:space="preserve"> of </w:t>
          </w:r>
          <w:r>
            <w:rPr>
              <w:rFonts w:ascii="Arial" w:eastAsia="Arial" w:hAnsi="Arial" w:cs="Arial"/>
              <w:sz w:val="20"/>
            </w:rPr>
            <w:fldChar w:fldCharType="begin"/>
          </w:r>
          <w:r>
            <w:rPr>
              <w:rFonts w:ascii="Arial" w:eastAsia="Arial" w:hAnsi="Arial" w:cs="Arial"/>
              <w:sz w:val="20"/>
            </w:rPr>
            <w:instrText xml:space="preserve"> NUMPAGES </w:instrText>
          </w:r>
          <w:r>
            <w:rPr>
              <w:rFonts w:ascii="Arial" w:eastAsia="Arial" w:hAnsi="Arial" w:cs="Arial"/>
              <w:sz w:val="20"/>
            </w:rPr>
            <w:fldChar w:fldCharType="separate"/>
          </w:r>
          <w:r>
            <w:rPr>
              <w:rFonts w:ascii="Arial" w:eastAsia="Arial" w:hAnsi="Arial" w:cs="Arial"/>
              <w:noProof/>
              <w:sz w:val="20"/>
            </w:rPr>
            <w:t>3</w:t>
          </w:r>
          <w:r>
            <w:rPr>
              <w:rFonts w:ascii="Arial" w:eastAsia="Arial" w:hAnsi="Arial" w:cs="Arial"/>
              <w:sz w:val="20"/>
            </w:rPr>
            <w:fldChar w:fldCharType="end"/>
          </w:r>
        </w:p>
      </w:tc>
    </w:tr>
    <w:tr w:rsidR="00BD0CC9" w14:paraId="35B17B25" w14:textId="77777777">
      <w:trPr>
        <w:jc w:val="center"/>
      </w:trPr>
      <w:tc>
        <w:tcPr>
          <w:tcW w:w="10080" w:type="dxa"/>
        </w:tcPr>
        <w:p w14:paraId="5F5AB3D2" w14:textId="77777777" w:rsidR="00BD0CC9" w:rsidRDefault="00017AF2">
          <w:pPr>
            <w:spacing w:before="60" w:after="200"/>
            <w:jc w:val="center"/>
          </w:pPr>
          <w:r>
            <w:rPr>
              <w:rFonts w:ascii="Arial" w:eastAsia="Arial" w:hAnsi="Arial" w:cs="Arial"/>
              <w:sz w:val="20"/>
            </w:rPr>
            <w:t>Tenn. Code Ann. § 39-17-905</w:t>
          </w: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ED1EE" w14:textId="77777777" w:rsidR="00BD0CC9" w:rsidRDefault="00BD0CC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017AF2"/>
    <w:rsid w:val="00A77B3E"/>
    <w:rsid w:val="00BD0CC9"/>
    <w:rsid w:val="00CA2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C76E9EB"/>
  <w15:docId w15:val="{CA12958A-9180-4E10-A3DC-8DD437E87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eastAsia="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lus.lexis.com/api/document?id=urn:contentItem:50J2-V4S0-R03M-D4DY-00000-00&amp;idtype=PID&amp;context=1530671" TargetMode="Externa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plus.lexis.com/api/document?collection=statutes-legislation&amp;id=urn:contentItem:50J2-V4S0-R03M-D4DY-00000-00&amp;context=1530671" TargetMode="External"/><Relationship Id="rId7" Type="http://schemas.openxmlformats.org/officeDocument/2006/relationships/hyperlink" Target="https://plus.lexis.com/api/document?id=urn:contentItem:50J2-V4S0-R03M-D4DY-00000-00&amp;idtype=PID&amp;context=1530671" TargetMode="Externa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yperlink" Target="https://plus.lexis.com/api/document?collection=statutes-legislation&amp;id=urn:contentItem:4J6N-MHY0-002X-50R0-00000-00&amp;context=1530671" TargetMode="Externa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24" Type="http://schemas.openxmlformats.org/officeDocument/2006/relationships/hyperlink" Target="https://plus.lexis.com/api/document?collection=statutes-legislation&amp;id=urn:contentItem:50J2-V4S0-R03M-D4F2-00000-00&amp;context=1530671" TargetMode="External"/><Relationship Id="rId5" Type="http://schemas.openxmlformats.org/officeDocument/2006/relationships/endnotes" Target="endnotes.xml"/><Relationship Id="rId15" Type="http://schemas.openxmlformats.org/officeDocument/2006/relationships/header" Target="header4.xml"/><Relationship Id="rId23" Type="http://schemas.openxmlformats.org/officeDocument/2006/relationships/hyperlink" Target="https://plus.lexis.com/api/document?collection=statutes-legislation&amp;id=urn:contentItem:50J2-V4S0-R03M-D4DT-00000-00&amp;context=1530671" TargetMode="Externa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plus.lexis.com/api/document?collection=statutes-legislation&amp;id=urn:contentItem:50J2-V4S0-R03M-D4DY-00000-00&amp;context=1530671"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www.lexisnexis.com/en-us/terms/privacy-policy.page" TargetMode="External"/><Relationship Id="rId2" Type="http://schemas.openxmlformats.org/officeDocument/2006/relationships/hyperlink" Target="http://www.lexisnexis.com/about-us/" TargetMode="External"/><Relationship Id="rId1" Type="http://schemas.openxmlformats.org/officeDocument/2006/relationships/image" Target="media/image2.jpeg"/><Relationship Id="rId5" Type="http://schemas.openxmlformats.org/officeDocument/2006/relationships/hyperlink" Target="http://www.lexisnexis.com/terms/copyright.aspx" TargetMode="External"/><Relationship Id="rId4" Type="http://schemas.openxmlformats.org/officeDocument/2006/relationships/hyperlink" Target="http://www.lexisnexis.com/terms/general.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813</Words>
  <Characters>4636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 Code Ann. § 39-17-905</dc:title>
  <cp:lastModifiedBy>Lloyd Crawford</cp:lastModifiedBy>
  <cp:revision>2</cp:revision>
  <dcterms:created xsi:type="dcterms:W3CDTF">2022-09-16T18:22:00Z</dcterms:created>
  <dcterms:modified xsi:type="dcterms:W3CDTF">2022-09-16T18:22:00Z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DeliveryID">
    <vt:lpwstr>179646157</vt:lpwstr>
  </property>
  <property fmtid="{D5CDD505-2E9C-101B-9397-08002B2CF9AE}" pid="3" name="LADocCount">
    <vt:i4>2</vt:i4>
  </property>
  <property fmtid="{D5CDD505-2E9C-101B-9397-08002B2CF9AE}" pid="4" name="UserPermID">
    <vt:lpwstr>urn:user:PA185080234</vt:lpwstr>
  </property>
</Properties>
</file>